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5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559"/>
        <w:gridCol w:w="4546"/>
      </w:tblGrid>
      <w:tr w:rsidR="00406ACD" w:rsidRPr="00406ACD" w:rsidTr="00406ACD">
        <w:trPr>
          <w:trHeight w:val="1981"/>
        </w:trPr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ИСПОЛНИТЕЛЬНЫЙ  КОМИТЕТ</w:t>
            </w:r>
            <w:proofErr w:type="gramEnd"/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 xml:space="preserve">ХОЗЕСАНОВСКОГО 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КАЙБИЦКОГО  МУНИЦИПАЛЬНОГО</w:t>
            </w:r>
            <w:proofErr w:type="gramEnd"/>
            <w:r w:rsidRPr="00406ACD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406ACD" w:rsidRPr="00406ACD" w:rsidRDefault="00406A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6ACD" w:rsidRPr="00406ACD" w:rsidRDefault="00406ACD">
            <w:pPr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ТАТАРСТАН РЕСПУБЛИКАСЫ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 xml:space="preserve">КАЙБЫЧ 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МУНИЦИПАЛЬ РАЙОНЫ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 xml:space="preserve">ХУҖА ХӘСӘН 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АВЫЛ ЖИРЛЕГЕ</w:t>
            </w:r>
          </w:p>
          <w:p w:rsidR="00406ACD" w:rsidRPr="00406ACD" w:rsidRDefault="00406ACD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6ACD">
              <w:rPr>
                <w:rFonts w:ascii="Times New Roman" w:hAnsi="Times New Roman"/>
                <w:b/>
                <w:sz w:val="24"/>
                <w:szCs w:val="24"/>
              </w:rPr>
              <w:t>БАШКАРМА  КОМИТЕТЫ</w:t>
            </w:r>
            <w:proofErr w:type="gramEnd"/>
          </w:p>
          <w:p w:rsidR="00406ACD" w:rsidRPr="00406ACD" w:rsidRDefault="00406A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7950" w:rsidRDefault="000B7950" w:rsidP="00406ACD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06ACD" w:rsidRPr="00406ACD" w:rsidRDefault="00406ACD" w:rsidP="00406AC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                           КАРАР</w:t>
      </w:r>
    </w:p>
    <w:p w:rsidR="00406ACD" w:rsidRPr="00406ACD" w:rsidRDefault="00406ACD" w:rsidP="00406ACD">
      <w:pPr>
        <w:tabs>
          <w:tab w:val="left" w:pos="7675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06ACD" w:rsidRPr="00406ACD" w:rsidRDefault="00406ACD" w:rsidP="00406ACD">
      <w:pPr>
        <w:tabs>
          <w:tab w:val="left" w:pos="767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Cs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7</w:t>
      </w:r>
      <w:r w:rsidR="000B7950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апрель </w:t>
      </w:r>
      <w:r w:rsidRPr="00406AC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2019              с.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Хозесаново</w:t>
      </w:r>
      <w:r w:rsidRPr="00406AC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8</w:t>
      </w:r>
    </w:p>
    <w:p w:rsidR="00406ACD" w:rsidRPr="00406ACD" w:rsidRDefault="00406ACD" w:rsidP="00406ACD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406ACD" w:rsidRPr="00406ACD" w:rsidRDefault="00406ACD" w:rsidP="00406ACD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Кайбыч муниципаль районы 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Хуҗа Хәсән</w:t>
      </w: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авыл җирлеге Башкарма комитетының 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баш хисапчысы (муниципаль хезмәткәрләр 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вазифаларына кертелгән вазыйфалардан тыш) 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>хезмәт хакын оештыру һәм түләү шартлары турында.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Хуҗа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Хәсән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комитеты </w:t>
      </w:r>
      <w:r w:rsidRPr="00406ACD">
        <w:rPr>
          <w:rFonts w:ascii="Times New Roman" w:hAnsi="Times New Roman" w:cs="Times New Roman"/>
          <w:b/>
          <w:sz w:val="28"/>
          <w:szCs w:val="28"/>
        </w:rPr>
        <w:t>КАРАР БИРӘ</w:t>
      </w:r>
      <w:r w:rsidRPr="00406ACD">
        <w:rPr>
          <w:rFonts w:ascii="Times New Roman" w:hAnsi="Times New Roman" w:cs="Times New Roman"/>
          <w:sz w:val="28"/>
          <w:szCs w:val="28"/>
        </w:rPr>
        <w:t>: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</w:rPr>
        <w:tab/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406ACD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Хуҗа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Хәсән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комитеты баш 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хисапч</w:t>
      </w:r>
      <w:r w:rsidRPr="00406ACD">
        <w:rPr>
          <w:rFonts w:ascii="Times New Roman" w:hAnsi="Times New Roman" w:cs="Times New Roman"/>
          <w:sz w:val="28"/>
          <w:szCs w:val="28"/>
        </w:rPr>
        <w:t>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сы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хакын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шартлары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нигезләмәне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06ACD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)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ab/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2.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билгеләнә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хезмәткәрнең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хакы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хезмәткәрнең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вазыйфа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сы</w:t>
      </w:r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бурычлары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күләмен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квалификация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эшләрен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башкарганда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31 мартына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хакы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күләменнән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алмый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ab/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3.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апреленнән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барлыкка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мөнәсәбәтләренә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кагыла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ab/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4.Әлеге карарның үтәлешен контрольдә тотуны үземдә калдырам.</w:t>
      </w:r>
    </w:p>
    <w:p w:rsidR="00406ACD" w:rsidRPr="00406ACD" w:rsidRDefault="00406ACD" w:rsidP="000B79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ACD" w:rsidRPr="00406ACD" w:rsidRDefault="00406ACD" w:rsidP="000B7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>Татарстан Республикасы</w:t>
      </w:r>
    </w:p>
    <w:p w:rsidR="00406ACD" w:rsidRPr="00406ACD" w:rsidRDefault="00406ACD" w:rsidP="000B7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>Кайбыч муни</w:t>
      </w:r>
      <w:proofErr w:type="spellStart"/>
      <w:r w:rsidRPr="00406ACD">
        <w:rPr>
          <w:rFonts w:ascii="Times New Roman" w:hAnsi="Times New Roman" w:cs="Times New Roman"/>
          <w:b/>
          <w:sz w:val="28"/>
          <w:szCs w:val="28"/>
        </w:rPr>
        <w:t>ципаль</w:t>
      </w:r>
      <w:proofErr w:type="spellEnd"/>
      <w:r w:rsidRPr="00406ACD">
        <w:rPr>
          <w:rFonts w:ascii="Times New Roman" w:hAnsi="Times New Roman" w:cs="Times New Roman"/>
          <w:b/>
          <w:sz w:val="28"/>
          <w:szCs w:val="28"/>
        </w:rPr>
        <w:t xml:space="preserve"> районы</w:t>
      </w:r>
    </w:p>
    <w:p w:rsidR="00406ACD" w:rsidRPr="00406ACD" w:rsidRDefault="00406ACD" w:rsidP="000B7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Хуҗа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Хәсән</w:t>
      </w:r>
      <w:proofErr w:type="spellEnd"/>
      <w:r w:rsidRPr="0040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b/>
          <w:sz w:val="28"/>
          <w:szCs w:val="28"/>
        </w:rPr>
        <w:t>авыл</w:t>
      </w:r>
      <w:proofErr w:type="spellEnd"/>
      <w:r w:rsidRPr="0040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b/>
          <w:sz w:val="28"/>
          <w:szCs w:val="28"/>
        </w:rPr>
        <w:t>җирлеге</w:t>
      </w:r>
      <w:proofErr w:type="spellEnd"/>
      <w:r w:rsidRPr="0040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b/>
          <w:sz w:val="28"/>
          <w:szCs w:val="28"/>
        </w:rPr>
        <w:t>башлыгы</w:t>
      </w:r>
      <w:proofErr w:type="spellEnd"/>
      <w:r w:rsidRPr="00406AC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Матвеева С.П.</w:t>
      </w:r>
    </w:p>
    <w:p w:rsidR="000B7950" w:rsidRDefault="00406ACD" w:rsidP="00406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</w:t>
      </w:r>
    </w:p>
    <w:p w:rsidR="00406ACD" w:rsidRPr="00406ACD" w:rsidRDefault="000B7950" w:rsidP="00406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                                    </w:t>
      </w:r>
      <w:bookmarkStart w:id="0" w:name="_GoBack"/>
      <w:bookmarkEnd w:id="0"/>
      <w:r w:rsidR="00406ACD"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proofErr w:type="spellStart"/>
      <w:r w:rsidR="00406ACD">
        <w:rPr>
          <w:rFonts w:ascii="Times New Roman" w:hAnsi="Times New Roman" w:cs="Times New Roman"/>
          <w:sz w:val="28"/>
          <w:szCs w:val="28"/>
        </w:rPr>
        <w:t>Хуҗа</w:t>
      </w:r>
      <w:proofErr w:type="spellEnd"/>
      <w:r w:rsid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ACD">
        <w:rPr>
          <w:rFonts w:ascii="Times New Roman" w:hAnsi="Times New Roman" w:cs="Times New Roman"/>
          <w:sz w:val="28"/>
          <w:szCs w:val="28"/>
        </w:rPr>
        <w:t>Хәсән</w:t>
      </w:r>
      <w:proofErr w:type="spellEnd"/>
      <w:r w:rsidR="00406ACD"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</w:t>
      </w:r>
    </w:p>
    <w:p w:rsidR="00406ACD" w:rsidRPr="00406ACD" w:rsidRDefault="00406ACD" w:rsidP="00406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Башкарма комитетның  </w:t>
      </w:r>
    </w:p>
    <w:p w:rsidR="00406ACD" w:rsidRDefault="00406ACD" w:rsidP="00406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2019 ел, 2</w:t>
      </w:r>
      <w:r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апрел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</w:p>
    <w:p w:rsidR="00406ACD" w:rsidRPr="00406ACD" w:rsidRDefault="00406ACD" w:rsidP="00406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номерлы  карарына кушымта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</w:t>
      </w:r>
    </w:p>
    <w:p w:rsidR="00406ACD" w:rsidRPr="00406ACD" w:rsidRDefault="00406ACD" w:rsidP="00406A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>Нигезләмә</w:t>
      </w:r>
    </w:p>
    <w:p w:rsidR="00406ACD" w:rsidRPr="00406ACD" w:rsidRDefault="00406ACD" w:rsidP="00406A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Кайбыч муниципаль районы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Хуҗа Хәсән</w:t>
      </w:r>
      <w:r w:rsidRPr="00406A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авыл җирлеге башкарма комитеты баш хисапчысының хезмәт хакын оештыру һәм түләү шартлары турында</w:t>
      </w:r>
    </w:p>
    <w:p w:rsidR="00406ACD" w:rsidRPr="00406ACD" w:rsidRDefault="00406ACD" w:rsidP="00406AC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1.Татарстан Республикасы Кайбыч муниципаль районы </w:t>
      </w:r>
      <w:r>
        <w:rPr>
          <w:rFonts w:ascii="Times New Roman" w:hAnsi="Times New Roman" w:cs="Times New Roman"/>
          <w:sz w:val="28"/>
          <w:szCs w:val="28"/>
          <w:lang w:val="tt-RU"/>
        </w:rPr>
        <w:t>Хуҗа Хәсән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комитетының баш хисапчысына хезмәт хакын оештыру һәм түләү шартлары турындагы әлеге нигезләмә хисапчылар эшчәнлеген оештыруның аерым мәсьәләләрен регламентлый һәм хезмәткәрләрнең вазыйфа</w:t>
      </w:r>
      <w:r>
        <w:rPr>
          <w:rFonts w:ascii="Times New Roman" w:hAnsi="Times New Roman" w:cs="Times New Roman"/>
          <w:sz w:val="28"/>
          <w:szCs w:val="28"/>
          <w:lang w:val="tt-RU"/>
        </w:rPr>
        <w:t>сы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окладларын, компенсация һәм кызыксындыру характерындагы түләүләр күләмнәрен һәм аларны бирү шартларын билгели.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2.Хисапчыларның хезмәт хакы </w:t>
      </w:r>
      <w:r>
        <w:rPr>
          <w:rFonts w:ascii="Times New Roman" w:hAnsi="Times New Roman" w:cs="Times New Roman"/>
          <w:sz w:val="28"/>
          <w:szCs w:val="28"/>
          <w:lang w:val="tt-RU"/>
        </w:rPr>
        <w:t>вазыйфасы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окладтан, тиешле еллар эшләгән өчен </w:t>
      </w:r>
      <w:r>
        <w:rPr>
          <w:rFonts w:ascii="Times New Roman" w:hAnsi="Times New Roman" w:cs="Times New Roman"/>
          <w:sz w:val="28"/>
          <w:szCs w:val="28"/>
          <w:lang w:val="tt-RU"/>
        </w:rPr>
        <w:t>вазыйфасы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окладка ай саен өстәмә түләү, эш интенсивлыгы, акчалата бүләкләү, матди ярдәм һәм еллык түләүле отпуск биргәндә бер тапкыр түләнә торган түләү, эш нәтиҗәләре буенча премияләр тәшкил итә.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3. Хисапчыларның </w:t>
      </w:r>
      <w:r>
        <w:rPr>
          <w:rFonts w:ascii="Times New Roman" w:hAnsi="Times New Roman" w:cs="Times New Roman"/>
          <w:sz w:val="28"/>
          <w:szCs w:val="28"/>
          <w:lang w:val="tt-RU"/>
        </w:rPr>
        <w:t>вазыйфасы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окладлары түбәндәге күләмнәрдә билгеләнә: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2"/>
        <w:gridCol w:w="6213"/>
      </w:tblGrid>
      <w:tr w:rsidR="00406ACD" w:rsidRPr="00406ACD" w:rsidTr="00B1376A">
        <w:tc>
          <w:tcPr>
            <w:tcW w:w="3379" w:type="dxa"/>
            <w:vMerge w:val="restart"/>
          </w:tcPr>
          <w:p w:rsidR="00406ACD" w:rsidRPr="00406ACD" w:rsidRDefault="00406ACD" w:rsidP="00B1376A">
            <w:pPr>
              <w:pStyle w:val="ConsPlusNormal"/>
              <w:spacing w:line="264" w:lineRule="auto"/>
              <w:jc w:val="center"/>
            </w:pPr>
            <w:proofErr w:type="spellStart"/>
            <w:r w:rsidRPr="00406ACD">
              <w:t>Вазифа</w:t>
            </w:r>
            <w:proofErr w:type="spellEnd"/>
          </w:p>
        </w:tc>
        <w:tc>
          <w:tcPr>
            <w:tcW w:w="6759" w:type="dxa"/>
          </w:tcPr>
          <w:p w:rsidR="00406ACD" w:rsidRPr="00406ACD" w:rsidRDefault="00406ACD" w:rsidP="00B137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берәмлекләрнең</w:t>
            </w:r>
            <w:proofErr w:type="spellEnd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комитетлары</w:t>
            </w:r>
            <w:proofErr w:type="spellEnd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вазыйфасы</w:t>
            </w:r>
            <w:proofErr w:type="spellEnd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халык</w:t>
            </w:r>
            <w:proofErr w:type="spellEnd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 xml:space="preserve"> саны </w:t>
            </w: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белән</w:t>
            </w:r>
            <w:proofErr w:type="spellEnd"/>
          </w:p>
          <w:p w:rsidR="00406ACD" w:rsidRPr="00406ACD" w:rsidRDefault="00406ACD" w:rsidP="00B1376A">
            <w:pPr>
              <w:pStyle w:val="ConsPlusNormal"/>
              <w:spacing w:line="264" w:lineRule="auto"/>
              <w:jc w:val="center"/>
            </w:pPr>
          </w:p>
        </w:tc>
      </w:tr>
      <w:tr w:rsidR="00406ACD" w:rsidRPr="00406ACD" w:rsidTr="00B1376A">
        <w:tc>
          <w:tcPr>
            <w:tcW w:w="3379" w:type="dxa"/>
            <w:vMerge/>
          </w:tcPr>
          <w:p w:rsidR="00406ACD" w:rsidRPr="00406ACD" w:rsidRDefault="00406ACD" w:rsidP="00B1376A">
            <w:pPr>
              <w:pStyle w:val="ConsPlusNormal"/>
              <w:spacing w:line="264" w:lineRule="auto"/>
              <w:jc w:val="both"/>
            </w:pPr>
          </w:p>
        </w:tc>
        <w:tc>
          <w:tcPr>
            <w:tcW w:w="6759" w:type="dxa"/>
          </w:tcPr>
          <w:p w:rsidR="00406ACD" w:rsidRPr="00406ACD" w:rsidRDefault="00406ACD" w:rsidP="00B1376A">
            <w:pPr>
              <w:pStyle w:val="ConsPlusNormal"/>
              <w:spacing w:line="264" w:lineRule="auto"/>
              <w:jc w:val="center"/>
            </w:pPr>
            <w:r w:rsidRPr="00406ACD">
              <w:t xml:space="preserve">3,5 </w:t>
            </w:r>
            <w:proofErr w:type="spellStart"/>
            <w:r w:rsidRPr="00406ACD">
              <w:t>меңгә</w:t>
            </w:r>
            <w:proofErr w:type="spellEnd"/>
            <w:r w:rsidRPr="00406ACD">
              <w:t xml:space="preserve"> </w:t>
            </w:r>
            <w:proofErr w:type="spellStart"/>
            <w:r w:rsidRPr="00406ACD">
              <w:t>кадәр</w:t>
            </w:r>
            <w:proofErr w:type="spellEnd"/>
            <w:r w:rsidRPr="00406ACD">
              <w:t xml:space="preserve"> </w:t>
            </w:r>
            <w:proofErr w:type="spellStart"/>
            <w:r w:rsidRPr="00406ACD">
              <w:t>кеше</w:t>
            </w:r>
            <w:proofErr w:type="spellEnd"/>
          </w:p>
        </w:tc>
      </w:tr>
      <w:tr w:rsidR="00406ACD" w:rsidRPr="00406ACD" w:rsidTr="00B1376A">
        <w:tc>
          <w:tcPr>
            <w:tcW w:w="3379" w:type="dxa"/>
          </w:tcPr>
          <w:p w:rsidR="00406ACD" w:rsidRPr="00406ACD" w:rsidRDefault="00406ACD" w:rsidP="00B1376A">
            <w:pPr>
              <w:pStyle w:val="ConsPlusNormal"/>
              <w:spacing w:line="264" w:lineRule="auto"/>
              <w:jc w:val="both"/>
            </w:pPr>
            <w:r w:rsidRPr="00406ACD">
              <w:t xml:space="preserve">Баш </w:t>
            </w:r>
            <w:proofErr w:type="spellStart"/>
            <w:r w:rsidRPr="00406ACD">
              <w:t>хисапчы</w:t>
            </w:r>
            <w:proofErr w:type="spellEnd"/>
          </w:p>
        </w:tc>
        <w:tc>
          <w:tcPr>
            <w:tcW w:w="6759" w:type="dxa"/>
          </w:tcPr>
          <w:p w:rsidR="00406ACD" w:rsidRPr="00406ACD" w:rsidRDefault="00406ACD" w:rsidP="00B137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CD">
              <w:rPr>
                <w:rFonts w:ascii="Times New Roman" w:hAnsi="Times New Roman" w:cs="Times New Roman"/>
                <w:sz w:val="28"/>
                <w:szCs w:val="28"/>
              </w:rPr>
              <w:t xml:space="preserve">15 700 </w:t>
            </w:r>
            <w:proofErr w:type="spellStart"/>
            <w:r w:rsidRPr="00406ACD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</w:p>
          <w:p w:rsidR="00406ACD" w:rsidRPr="00406ACD" w:rsidRDefault="00406ACD" w:rsidP="00B1376A">
            <w:pPr>
              <w:pStyle w:val="ConsPlusNormal"/>
              <w:spacing w:line="264" w:lineRule="auto"/>
              <w:jc w:val="center"/>
            </w:pPr>
          </w:p>
        </w:tc>
      </w:tr>
      <w:tr w:rsidR="00406ACD" w:rsidRPr="00406ACD" w:rsidTr="00B1376A">
        <w:tc>
          <w:tcPr>
            <w:tcW w:w="3379" w:type="dxa"/>
          </w:tcPr>
          <w:p w:rsidR="00406ACD" w:rsidRPr="00406ACD" w:rsidRDefault="00406ACD" w:rsidP="00B1376A">
            <w:pPr>
              <w:pStyle w:val="ConsPlusNormal"/>
              <w:spacing w:line="264" w:lineRule="auto"/>
              <w:jc w:val="both"/>
            </w:pPr>
            <w:proofErr w:type="spellStart"/>
            <w:r w:rsidRPr="00406ACD">
              <w:t>Хисапчы</w:t>
            </w:r>
            <w:proofErr w:type="spellEnd"/>
          </w:p>
        </w:tc>
        <w:tc>
          <w:tcPr>
            <w:tcW w:w="6759" w:type="dxa"/>
          </w:tcPr>
          <w:p w:rsidR="00406ACD" w:rsidRPr="00406ACD" w:rsidRDefault="00406ACD" w:rsidP="00B1376A">
            <w:pPr>
              <w:pStyle w:val="ConsPlusNormal"/>
              <w:spacing w:line="264" w:lineRule="auto"/>
              <w:jc w:val="center"/>
            </w:pPr>
            <w:r w:rsidRPr="00406ACD">
              <w:t>-</w:t>
            </w:r>
          </w:p>
        </w:tc>
      </w:tr>
    </w:tbl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ab/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берәмлекләрнең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комитетлары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расписаниесенә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хисапчы</w:t>
      </w:r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вазыйфасын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саны 3,5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меңнән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артык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тора.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Хисапчыларга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билгеләнә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: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күләмнәрдә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елларны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эшләгән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вазыйфасы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окладка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айлык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өстәмә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103"/>
      </w:tblGrid>
      <w:tr w:rsidR="00406ACD" w:rsidRPr="00406ACD" w:rsidTr="00B1376A">
        <w:tc>
          <w:tcPr>
            <w:tcW w:w="3181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</w:rPr>
            </w:pPr>
            <w:proofErr w:type="spellStart"/>
            <w:r w:rsidRPr="00406ACD">
              <w:rPr>
                <w:rFonts w:eastAsiaTheme="minorHAnsi"/>
              </w:rPr>
              <w:t>Эш</w:t>
            </w:r>
            <w:proofErr w:type="spellEnd"/>
            <w:r w:rsidRPr="00406ACD">
              <w:rPr>
                <w:rFonts w:eastAsiaTheme="minorHAnsi"/>
              </w:rPr>
              <w:t xml:space="preserve"> </w:t>
            </w:r>
            <w:proofErr w:type="spellStart"/>
            <w:r w:rsidRPr="00406ACD">
              <w:rPr>
                <w:rFonts w:eastAsiaTheme="minorHAnsi"/>
              </w:rPr>
              <w:t>стажы</w:t>
            </w:r>
            <w:proofErr w:type="spellEnd"/>
            <w:r w:rsidRPr="00406ACD">
              <w:rPr>
                <w:rFonts w:eastAsiaTheme="minorHAnsi"/>
              </w:rPr>
              <w:t xml:space="preserve"> </w:t>
            </w:r>
            <w:proofErr w:type="spellStart"/>
            <w:r w:rsidRPr="00406ACD">
              <w:rPr>
                <w:rFonts w:eastAsiaTheme="minorHAnsi"/>
              </w:rPr>
              <w:t>булганда</w:t>
            </w:r>
            <w:proofErr w:type="spellEnd"/>
          </w:p>
        </w:tc>
        <w:tc>
          <w:tcPr>
            <w:tcW w:w="5103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</w:rPr>
            </w:pPr>
            <w:proofErr w:type="spellStart"/>
            <w:r w:rsidRPr="00406ACD">
              <w:rPr>
                <w:rFonts w:eastAsiaTheme="minorHAnsi"/>
              </w:rPr>
              <w:t>Айлык</w:t>
            </w:r>
            <w:proofErr w:type="spellEnd"/>
            <w:r w:rsidRPr="00406ACD">
              <w:rPr>
                <w:rFonts w:eastAsiaTheme="minorHAnsi"/>
              </w:rPr>
              <w:t xml:space="preserve"> </w:t>
            </w:r>
            <w:proofErr w:type="spellStart"/>
            <w:r w:rsidRPr="00406ACD">
              <w:rPr>
                <w:rFonts w:eastAsiaTheme="minorHAnsi"/>
              </w:rPr>
              <w:t>өстәмә</w:t>
            </w:r>
            <w:proofErr w:type="spellEnd"/>
            <w:r w:rsidRPr="00406ACD">
              <w:rPr>
                <w:rFonts w:eastAsiaTheme="minorHAnsi"/>
              </w:rPr>
              <w:t>, процент</w:t>
            </w:r>
          </w:p>
        </w:tc>
      </w:tr>
      <w:tr w:rsidR="00406ACD" w:rsidRPr="00406ACD" w:rsidTr="00B1376A">
        <w:tc>
          <w:tcPr>
            <w:tcW w:w="3181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  <w:lang w:val="tt-RU"/>
              </w:rPr>
            </w:pPr>
            <w:r w:rsidRPr="00406ACD">
              <w:rPr>
                <w:rFonts w:eastAsiaTheme="minorHAnsi"/>
              </w:rPr>
              <w:t>1</w:t>
            </w:r>
            <w:r w:rsidRPr="00406ACD">
              <w:rPr>
                <w:rFonts w:eastAsiaTheme="minorHAnsi"/>
                <w:lang w:val="tt-RU"/>
              </w:rPr>
              <w:t>елдан</w:t>
            </w:r>
            <w:r w:rsidRPr="00406ACD">
              <w:rPr>
                <w:rFonts w:eastAsiaTheme="minorHAnsi"/>
              </w:rPr>
              <w:t xml:space="preserve"> 5</w:t>
            </w:r>
            <w:r w:rsidRPr="00406ACD">
              <w:rPr>
                <w:rFonts w:eastAsiaTheme="minorHAnsi"/>
                <w:lang w:val="tt-RU"/>
              </w:rPr>
              <w:t xml:space="preserve"> елга кадәр</w:t>
            </w:r>
          </w:p>
        </w:tc>
        <w:tc>
          <w:tcPr>
            <w:tcW w:w="5103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</w:rPr>
            </w:pPr>
            <w:r w:rsidRPr="00406ACD">
              <w:rPr>
                <w:rFonts w:eastAsiaTheme="minorHAnsi"/>
              </w:rPr>
              <w:t>5</w:t>
            </w:r>
          </w:p>
        </w:tc>
      </w:tr>
      <w:tr w:rsidR="00406ACD" w:rsidRPr="00406ACD" w:rsidTr="00B1376A">
        <w:tc>
          <w:tcPr>
            <w:tcW w:w="3181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  <w:lang w:val="tt-RU"/>
              </w:rPr>
            </w:pPr>
            <w:r w:rsidRPr="00406ACD">
              <w:rPr>
                <w:rFonts w:eastAsiaTheme="minorHAnsi"/>
              </w:rPr>
              <w:t>5</w:t>
            </w:r>
            <w:r w:rsidRPr="00406ACD">
              <w:rPr>
                <w:rFonts w:eastAsiaTheme="minorHAnsi"/>
                <w:lang w:val="tt-RU"/>
              </w:rPr>
              <w:t xml:space="preserve">елдан </w:t>
            </w:r>
            <w:r w:rsidRPr="00406ACD">
              <w:rPr>
                <w:rFonts w:eastAsiaTheme="minorHAnsi"/>
              </w:rPr>
              <w:t>10</w:t>
            </w:r>
            <w:r w:rsidRPr="00406ACD">
              <w:rPr>
                <w:rFonts w:eastAsiaTheme="minorHAnsi"/>
                <w:lang w:val="tt-RU"/>
              </w:rPr>
              <w:t>елга кадәр</w:t>
            </w:r>
          </w:p>
        </w:tc>
        <w:tc>
          <w:tcPr>
            <w:tcW w:w="5103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</w:rPr>
            </w:pPr>
            <w:r w:rsidRPr="00406ACD">
              <w:rPr>
                <w:rFonts w:eastAsiaTheme="minorHAnsi"/>
              </w:rPr>
              <w:t>7</w:t>
            </w:r>
          </w:p>
        </w:tc>
      </w:tr>
      <w:tr w:rsidR="00406ACD" w:rsidRPr="00406ACD" w:rsidTr="00B1376A">
        <w:tc>
          <w:tcPr>
            <w:tcW w:w="3181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  <w:lang w:val="tt-RU"/>
              </w:rPr>
            </w:pPr>
            <w:r w:rsidRPr="00406ACD">
              <w:rPr>
                <w:rFonts w:eastAsiaTheme="minorHAnsi"/>
              </w:rPr>
              <w:t xml:space="preserve"> 10</w:t>
            </w:r>
            <w:r w:rsidRPr="00406ACD">
              <w:rPr>
                <w:rFonts w:eastAsiaTheme="minorHAnsi"/>
                <w:lang w:val="tt-RU"/>
              </w:rPr>
              <w:t xml:space="preserve"> елдан </w:t>
            </w:r>
            <w:r w:rsidRPr="00406ACD">
              <w:rPr>
                <w:rFonts w:eastAsiaTheme="minorHAnsi"/>
              </w:rPr>
              <w:t>15</w:t>
            </w:r>
            <w:r w:rsidRPr="00406ACD">
              <w:rPr>
                <w:rFonts w:eastAsiaTheme="minorHAnsi"/>
                <w:lang w:val="tt-RU"/>
              </w:rPr>
              <w:t>елга кадәр</w:t>
            </w:r>
          </w:p>
        </w:tc>
        <w:tc>
          <w:tcPr>
            <w:tcW w:w="5103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</w:rPr>
            </w:pPr>
            <w:r w:rsidRPr="00406ACD">
              <w:rPr>
                <w:rFonts w:eastAsiaTheme="minorHAnsi"/>
              </w:rPr>
              <w:t>10</w:t>
            </w:r>
          </w:p>
        </w:tc>
      </w:tr>
      <w:tr w:rsidR="00406ACD" w:rsidRPr="00406ACD" w:rsidTr="00B1376A">
        <w:tc>
          <w:tcPr>
            <w:tcW w:w="3181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  <w:lang w:val="tt-RU"/>
              </w:rPr>
            </w:pPr>
            <w:r w:rsidRPr="00406ACD">
              <w:rPr>
                <w:rFonts w:eastAsiaTheme="minorHAnsi"/>
              </w:rPr>
              <w:lastRenderedPageBreak/>
              <w:t xml:space="preserve">15елдан </w:t>
            </w:r>
            <w:proofErr w:type="spellStart"/>
            <w:r w:rsidRPr="00406ACD">
              <w:rPr>
                <w:rFonts w:eastAsiaTheme="minorHAnsi"/>
              </w:rPr>
              <w:t>артык</w:t>
            </w:r>
            <w:proofErr w:type="spellEnd"/>
          </w:p>
        </w:tc>
        <w:tc>
          <w:tcPr>
            <w:tcW w:w="5103" w:type="dxa"/>
          </w:tcPr>
          <w:p w:rsidR="00406ACD" w:rsidRPr="00406ACD" w:rsidRDefault="00406ACD" w:rsidP="00B1376A">
            <w:pPr>
              <w:pStyle w:val="ConsPlusNormal"/>
              <w:jc w:val="center"/>
              <w:rPr>
                <w:rFonts w:eastAsiaTheme="minorHAnsi"/>
              </w:rPr>
            </w:pPr>
            <w:r w:rsidRPr="00406ACD">
              <w:rPr>
                <w:rFonts w:eastAsiaTheme="minorHAnsi"/>
              </w:rPr>
              <w:t>15</w:t>
            </w:r>
          </w:p>
        </w:tc>
      </w:tr>
    </w:tbl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tt-RU"/>
        </w:rPr>
        <w:t>вазыйфасы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окладның 10 проценты күләмендә эш интенсивлыгы өчен </w:t>
      </w:r>
      <w:r>
        <w:rPr>
          <w:rFonts w:ascii="Times New Roman" w:hAnsi="Times New Roman" w:cs="Times New Roman"/>
          <w:sz w:val="28"/>
          <w:szCs w:val="28"/>
          <w:lang w:val="tt-RU"/>
        </w:rPr>
        <w:t>вазыйфасы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окладка айлык өстәмә;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3) еллык түләүле отпуск биргәндә бер тапкыр бирелә торган түләү күләме елына </w:t>
      </w:r>
      <w:r>
        <w:rPr>
          <w:rFonts w:ascii="Times New Roman" w:hAnsi="Times New Roman" w:cs="Times New Roman"/>
          <w:sz w:val="28"/>
          <w:szCs w:val="28"/>
          <w:lang w:val="tt-RU"/>
        </w:rPr>
        <w:t>вазыйфасы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окладның 120 проценты күләмендә;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ab/>
        <w:t>Әгәр хисапчыларга календарь ел дәвамында еллык түләүле ял бирелмәсә, бер тапкыр түләнә торган акча түләнелә һәм декабрьдә, эштән азат ителгән очракта, аңа пропорциональ рәвештә түләнә.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ab/>
        <w:t>Беренче елда еллык түләүле отпуск биргәндә хисапчыларга бер тапкыр түләнә торган түләү календарь елында башкарылган вакытка пропорциональ рәвештә башкарыла. Эшләнгән вакыт агымдагы елның 31 декабренә эшкә кергән көннән исәпләнә.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  <w:lang w:val="tt-RU"/>
        </w:rPr>
      </w:pPr>
      <w:r w:rsidRPr="00406ACD">
        <w:rPr>
          <w:rFonts w:ascii="Times New Roman" w:hAnsi="Times New Roman" w:cs="Times New Roman"/>
          <w:sz w:val="28"/>
          <w:szCs w:val="28"/>
          <w:lang w:val="tt-RU"/>
        </w:rPr>
        <w:t>4) хезмәт өчен түләүнең билгеләнгән фонды чикләрендә акчалата бүләкләү, матди ярдәм күрсәтү;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 xml:space="preserve">5) ай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квартал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премия.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Хисапчыларны</w:t>
      </w:r>
      <w:proofErr w:type="spellEnd"/>
      <w:r w:rsidRPr="00406ACD">
        <w:rPr>
          <w:rFonts w:ascii="Times New Roman" w:hAnsi="Times New Roman" w:cs="Times New Roman"/>
          <w:sz w:val="28"/>
          <w:szCs w:val="28"/>
          <w:lang w:val="tt-RU"/>
        </w:rPr>
        <w:t>ң е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ллык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хакы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фонды 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түбәндәге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формуласы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исәпләнә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: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ACD" w:rsidRPr="00406ACD" w:rsidRDefault="00406ACD" w:rsidP="00406ACD">
      <w:pPr>
        <w:pStyle w:val="ConsPlusNormal"/>
        <w:spacing w:line="264" w:lineRule="auto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  <w:lang w:val="en-US"/>
            </w:rPr>
            <m:t>OT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0,3*O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*k)*(1+t)+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Р</m:t>
              </m:r>
            </m:e>
          </m:nary>
          <m:r>
            <w:rPr>
              <w:rFonts w:ascii="Cambria Math" w:hAnsi="Cambria Math"/>
            </w:rPr>
            <m:t>*(1+t);</m:t>
          </m:r>
        </m:oMath>
      </m:oMathPara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: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 xml:space="preserve">FOT – 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хисапчыларның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еллык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хакы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ACD">
        <w:rPr>
          <w:rFonts w:ascii="Times New Roman" w:hAnsi="Times New Roman" w:cs="Times New Roman"/>
          <w:sz w:val="28"/>
          <w:szCs w:val="28"/>
        </w:rPr>
        <w:t>фонды ;</w:t>
      </w:r>
      <w:proofErr w:type="gramEnd"/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Pr="00406ACD">
        <w:rPr>
          <w:rFonts w:ascii="Times New Roman" w:hAnsi="Times New Roman" w:cs="Times New Roman"/>
          <w:sz w:val="28"/>
          <w:szCs w:val="28"/>
        </w:rPr>
        <w:t>-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хисапчыларга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окладларын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суммасы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0,3*O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06ACD">
        <w:rPr>
          <w:rFonts w:ascii="Times New Roman" w:hAnsi="Times New Roman" w:cs="Times New Roman"/>
          <w:sz w:val="28"/>
          <w:szCs w:val="28"/>
        </w:rPr>
        <w:t>-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эшләгән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вазыйфасы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окладка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айлык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өстәмә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интенсивлыгы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акчалата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бүләкләү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еллык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түләүле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отпуск,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матди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күрсәткәндә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суммасы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 xml:space="preserve">Р – </w:t>
      </w:r>
      <w:r w:rsidRPr="00406ACD">
        <w:rPr>
          <w:rFonts w:ascii="Times New Roman" w:hAnsi="Times New Roman" w:cs="Times New Roman"/>
          <w:sz w:val="28"/>
          <w:szCs w:val="28"/>
          <w:lang w:val="tt-RU"/>
        </w:rPr>
        <w:t>хисапчы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ларның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еллык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премиаль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фонды (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Нигезләмәнең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пунктындагы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пунктчасында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шартлардан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чыгып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билгеләнә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));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>n-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хисапчыларның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штат саны;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6ACD">
        <w:rPr>
          <w:rFonts w:ascii="Times New Roman" w:hAnsi="Times New Roman" w:cs="Times New Roman"/>
          <w:sz w:val="28"/>
          <w:szCs w:val="28"/>
        </w:rPr>
        <w:t>k-12 ай;</w:t>
      </w:r>
    </w:p>
    <w:p w:rsidR="00406ACD" w:rsidRPr="00406ACD" w:rsidRDefault="00406ACD" w:rsidP="00406ACD">
      <w:pPr>
        <w:pStyle w:val="ConsPlusNonforma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406AC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түләүләр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CD">
        <w:rPr>
          <w:rFonts w:ascii="Times New Roman" w:hAnsi="Times New Roman" w:cs="Times New Roman"/>
          <w:sz w:val="28"/>
          <w:szCs w:val="28"/>
        </w:rPr>
        <w:t>исәпләү</w:t>
      </w:r>
      <w:proofErr w:type="spellEnd"/>
      <w:r w:rsidRPr="00406ACD">
        <w:rPr>
          <w:rFonts w:ascii="Times New Roman" w:hAnsi="Times New Roman" w:cs="Times New Roman"/>
          <w:sz w:val="28"/>
          <w:szCs w:val="28"/>
        </w:rPr>
        <w:t>.</w:t>
      </w:r>
    </w:p>
    <w:p w:rsidR="00421EAB" w:rsidRPr="00406ACD" w:rsidRDefault="00421EAB">
      <w:pPr>
        <w:rPr>
          <w:rFonts w:ascii="Times New Roman" w:hAnsi="Times New Roman" w:cs="Times New Roman"/>
          <w:sz w:val="28"/>
          <w:szCs w:val="28"/>
        </w:rPr>
      </w:pPr>
    </w:p>
    <w:sectPr w:rsidR="00421EAB" w:rsidRPr="0040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F0"/>
    <w:rsid w:val="000B7950"/>
    <w:rsid w:val="004060F0"/>
    <w:rsid w:val="00406ACD"/>
    <w:rsid w:val="00421EAB"/>
    <w:rsid w:val="00942E47"/>
    <w:rsid w:val="00B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8B35"/>
  <w15:chartTrackingRefBased/>
  <w15:docId w15:val="{0B45DAD1-F0C8-4CBB-8D28-407FE541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6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6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0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A94B-DB93-4640-B138-3B0DD9F2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2019-05-16T13:53:00Z</cp:lastPrinted>
  <dcterms:created xsi:type="dcterms:W3CDTF">2019-05-16T13:38:00Z</dcterms:created>
  <dcterms:modified xsi:type="dcterms:W3CDTF">2019-05-16T14:05:00Z</dcterms:modified>
</cp:coreProperties>
</file>